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Default="00B03B3C" w:rsidP="008C13A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03B3C" w:rsidRDefault="00B03B3C" w:rsidP="008C13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03B3C" w:rsidRPr="008C13A7" w:rsidRDefault="00B03B3C" w:rsidP="008C13A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E7B2E" w:rsidRPr="008C13A7" w:rsidRDefault="000B10D5" w:rsidP="008C13A7">
      <w:pPr>
        <w:spacing w:line="480" w:lineRule="auto"/>
        <w:jc w:val="center"/>
        <w:rPr>
          <w:rFonts w:ascii="Times New Roman" w:hAnsi="Times New Roman" w:cs="Times New Roman"/>
          <w:sz w:val="24"/>
          <w:szCs w:val="24"/>
        </w:rPr>
      </w:pPr>
      <w:r w:rsidRPr="008C13A7">
        <w:rPr>
          <w:rFonts w:ascii="Times New Roman" w:hAnsi="Times New Roman" w:cs="Times New Roman"/>
          <w:sz w:val="24"/>
          <w:szCs w:val="24"/>
        </w:rPr>
        <w:t>Communication</w:t>
      </w: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jc w:val="center"/>
        <w:rPr>
          <w:rFonts w:ascii="Times New Roman" w:hAnsi="Times New Roman" w:cs="Times New Roman"/>
          <w:sz w:val="24"/>
          <w:szCs w:val="24"/>
        </w:rPr>
      </w:pPr>
    </w:p>
    <w:p w:rsidR="000B10D5" w:rsidRPr="008C13A7" w:rsidRDefault="000B10D5" w:rsidP="008C13A7">
      <w:pPr>
        <w:spacing w:line="480" w:lineRule="auto"/>
        <w:rPr>
          <w:rFonts w:ascii="Times New Roman" w:hAnsi="Times New Roman" w:cs="Times New Roman"/>
          <w:sz w:val="24"/>
          <w:szCs w:val="24"/>
        </w:rPr>
      </w:pPr>
    </w:p>
    <w:p w:rsidR="008C13A7" w:rsidRPr="008C13A7" w:rsidRDefault="008C13A7" w:rsidP="008C13A7">
      <w:pPr>
        <w:spacing w:line="480" w:lineRule="auto"/>
        <w:ind w:firstLine="720"/>
        <w:rPr>
          <w:rFonts w:ascii="Times New Roman" w:hAnsi="Times New Roman" w:cs="Times New Roman"/>
          <w:sz w:val="24"/>
          <w:szCs w:val="24"/>
        </w:rPr>
      </w:pPr>
      <w:r w:rsidRPr="008C13A7">
        <w:rPr>
          <w:rFonts w:ascii="Times New Roman" w:hAnsi="Times New Roman" w:cs="Times New Roman"/>
          <w:sz w:val="24"/>
          <w:szCs w:val="24"/>
        </w:rPr>
        <w:lastRenderedPageBreak/>
        <w:t xml:space="preserve">In the Brown v. Entertainment Merchants Association, the Supreme Court ruled against California in a case prohibiting the sale of violent games since it was viewed as a violation of the First Amendment. The law covered other topics like obscenity and sexual content. In the case, the judges voted 7 against 2 against the California law ruling. Judge Antonin argued that obscenity is not covered under the 1st Amendment. He had observed that the young ones were protected under the Amendment and the long past of violent content in books should also be looked into. In the presentation of the ruling, Antonin argued that the former court failed to show the relationship between the violence from the games and negative effects on children. </w:t>
      </w:r>
      <w:r w:rsidR="00B03B3C">
        <w:rPr>
          <w:rFonts w:ascii="Times New Roman" w:hAnsi="Times New Roman" w:cs="Times New Roman"/>
          <w:sz w:val="24"/>
          <w:szCs w:val="24"/>
        </w:rPr>
        <w:t>“</w:t>
      </w:r>
      <w:r w:rsidRPr="008C13A7">
        <w:rPr>
          <w:rFonts w:ascii="Times New Roman" w:hAnsi="Times New Roman" w:cs="Times New Roman"/>
          <w:sz w:val="24"/>
          <w:szCs w:val="24"/>
        </w:rPr>
        <w:t>Moreover, each game had a voluntary warning on the violent nature of the game and the parents had the liberty of not purchasing it</w:t>
      </w:r>
      <w:r w:rsidR="00B03B3C">
        <w:rPr>
          <w:rFonts w:ascii="Times New Roman" w:hAnsi="Times New Roman" w:cs="Times New Roman"/>
          <w:sz w:val="24"/>
          <w:szCs w:val="24"/>
        </w:rPr>
        <w:t>.”</w:t>
      </w:r>
      <w:r w:rsidR="00770542">
        <w:rPr>
          <w:rFonts w:ascii="Times New Roman" w:hAnsi="Times New Roman" w:cs="Times New Roman"/>
          <w:sz w:val="24"/>
          <w:szCs w:val="24"/>
        </w:rPr>
        <w:t xml:space="preserve"> (</w:t>
      </w:r>
      <w:r w:rsidR="00770542" w:rsidRPr="00770542">
        <w:rPr>
          <w:rFonts w:ascii="Times New Roman" w:eastAsia="Times New Roman" w:hAnsi="Times New Roman" w:cs="Times New Roman"/>
          <w:color w:val="000000"/>
          <w:sz w:val="24"/>
          <w:szCs w:val="24"/>
        </w:rPr>
        <w:t>Miller, 2012)</w:t>
      </w:r>
    </w:p>
    <w:p w:rsidR="00B03B3C" w:rsidRPr="008C13A7" w:rsidRDefault="008C13A7" w:rsidP="00B03B3C">
      <w:pPr>
        <w:spacing w:line="480" w:lineRule="auto"/>
        <w:ind w:firstLine="720"/>
        <w:rPr>
          <w:rFonts w:ascii="Times New Roman" w:hAnsi="Times New Roman" w:cs="Times New Roman"/>
          <w:sz w:val="24"/>
          <w:szCs w:val="24"/>
        </w:rPr>
      </w:pPr>
      <w:r w:rsidRPr="008C13A7">
        <w:rPr>
          <w:rFonts w:ascii="Times New Roman" w:hAnsi="Times New Roman" w:cs="Times New Roman"/>
          <w:sz w:val="24"/>
          <w:szCs w:val="24"/>
        </w:rPr>
        <w:t xml:space="preserve">According to my personal opinion, I believe that the issue that the law failed to address is the definition of violent content and the impact of the game on the children.  Unpopular speech is protected under the 1st Amendment although we cannot establish if the content of the game can be classified under the same category. I believe that the games are offensive in nature and have a negative impact on children. Nevertheless, the packaging of each game is clear on nature and thus the court should in no way prohibit the sale or rent of the product. According to Caveat emptor principle (buyer beware) states that the product is bought as it is. In such case, the buyer will assume the risk that comes with it. The parents are thereby supposed to deal with the impact of the offensive video as they are fully </w:t>
      </w:r>
      <w:r w:rsidR="00B03B3C">
        <w:rPr>
          <w:rFonts w:ascii="Times New Roman" w:hAnsi="Times New Roman" w:cs="Times New Roman"/>
          <w:sz w:val="24"/>
          <w:szCs w:val="24"/>
        </w:rPr>
        <w:t xml:space="preserve">aware of the nature of the game </w:t>
      </w:r>
      <w:r w:rsidR="00B03B3C">
        <w:rPr>
          <w:rFonts w:ascii="Times New Roman" w:hAnsi="Times New Roman" w:cs="Times New Roman"/>
          <w:sz w:val="24"/>
          <w:szCs w:val="24"/>
        </w:rPr>
        <w:t>(</w:t>
      </w:r>
      <w:r w:rsidR="00B03B3C" w:rsidRPr="00770542">
        <w:rPr>
          <w:rFonts w:ascii="Times New Roman" w:eastAsia="Times New Roman" w:hAnsi="Times New Roman" w:cs="Times New Roman"/>
          <w:color w:val="000000"/>
          <w:sz w:val="24"/>
          <w:szCs w:val="24"/>
        </w:rPr>
        <w:t>Miller, 2012)</w:t>
      </w:r>
    </w:p>
    <w:p w:rsidR="000B10D5" w:rsidRDefault="000B10D5" w:rsidP="008C13A7">
      <w:pPr>
        <w:spacing w:line="480" w:lineRule="auto"/>
        <w:ind w:firstLine="720"/>
        <w:rPr>
          <w:rFonts w:ascii="Times New Roman" w:hAnsi="Times New Roman" w:cs="Times New Roman"/>
          <w:sz w:val="24"/>
          <w:szCs w:val="24"/>
        </w:rPr>
      </w:pPr>
    </w:p>
    <w:p w:rsidR="005F56F3" w:rsidRDefault="005F56F3" w:rsidP="008C13A7">
      <w:pPr>
        <w:spacing w:line="480" w:lineRule="auto"/>
        <w:ind w:firstLine="720"/>
        <w:rPr>
          <w:rFonts w:ascii="Times New Roman" w:hAnsi="Times New Roman" w:cs="Times New Roman"/>
          <w:sz w:val="24"/>
          <w:szCs w:val="24"/>
        </w:rPr>
      </w:pPr>
    </w:p>
    <w:p w:rsidR="005F56F3" w:rsidRDefault="005F56F3" w:rsidP="00B03B3C">
      <w:pPr>
        <w:spacing w:line="480" w:lineRule="auto"/>
        <w:rPr>
          <w:rFonts w:ascii="Times New Roman" w:hAnsi="Times New Roman" w:cs="Times New Roman"/>
          <w:sz w:val="24"/>
          <w:szCs w:val="24"/>
        </w:rPr>
      </w:pPr>
      <w:bookmarkStart w:id="0" w:name="_GoBack"/>
      <w:bookmarkEnd w:id="0"/>
    </w:p>
    <w:p w:rsidR="00770542" w:rsidRPr="00770542" w:rsidRDefault="00770542" w:rsidP="00770542">
      <w:pPr>
        <w:shd w:val="clear" w:color="auto" w:fill="FFFFFF"/>
        <w:spacing w:after="0" w:line="240" w:lineRule="auto"/>
        <w:jc w:val="center"/>
        <w:rPr>
          <w:rFonts w:ascii="Times New Roman" w:eastAsia="Times New Roman" w:hAnsi="Times New Roman" w:cs="Times New Roman"/>
          <w:color w:val="000000"/>
          <w:sz w:val="24"/>
          <w:szCs w:val="24"/>
        </w:rPr>
      </w:pPr>
      <w:r w:rsidRPr="00770542">
        <w:rPr>
          <w:rFonts w:ascii="Times New Roman" w:eastAsia="Times New Roman" w:hAnsi="Times New Roman" w:cs="Times New Roman"/>
          <w:color w:val="000000"/>
          <w:sz w:val="24"/>
          <w:szCs w:val="24"/>
        </w:rPr>
        <w:lastRenderedPageBreak/>
        <w:t>References</w:t>
      </w:r>
    </w:p>
    <w:p w:rsidR="00770542" w:rsidRPr="00770542" w:rsidRDefault="00770542" w:rsidP="0077054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70542">
        <w:rPr>
          <w:rFonts w:ascii="Times New Roman" w:eastAsia="Times New Roman" w:hAnsi="Times New Roman" w:cs="Times New Roman"/>
          <w:color w:val="000000"/>
          <w:sz w:val="24"/>
          <w:szCs w:val="24"/>
        </w:rPr>
        <w:t>Miller, R. (2012). </w:t>
      </w:r>
      <w:r w:rsidRPr="00770542">
        <w:rPr>
          <w:rFonts w:ascii="Times New Roman" w:eastAsia="Times New Roman" w:hAnsi="Times New Roman" w:cs="Times New Roman"/>
          <w:i/>
          <w:iCs/>
          <w:color w:val="000000"/>
          <w:sz w:val="24"/>
          <w:szCs w:val="24"/>
        </w:rPr>
        <w:t>Cengage Advantage Books: Fundamentals of Business Law: Summarized Cases</w:t>
      </w:r>
      <w:r w:rsidRPr="00770542">
        <w:rPr>
          <w:rFonts w:ascii="Times New Roman" w:eastAsia="Times New Roman" w:hAnsi="Times New Roman" w:cs="Times New Roman"/>
          <w:color w:val="000000"/>
          <w:sz w:val="24"/>
          <w:szCs w:val="24"/>
        </w:rPr>
        <w:t>. Boston, MA: Cengage Learning.</w:t>
      </w:r>
    </w:p>
    <w:p w:rsidR="005F56F3" w:rsidRPr="008C13A7" w:rsidRDefault="005F56F3" w:rsidP="00770542">
      <w:pPr>
        <w:shd w:val="clear" w:color="auto" w:fill="FFFFFF"/>
        <w:spacing w:after="0" w:line="240" w:lineRule="auto"/>
        <w:jc w:val="center"/>
        <w:rPr>
          <w:rFonts w:ascii="Times New Roman" w:hAnsi="Times New Roman" w:cs="Times New Roman"/>
          <w:sz w:val="24"/>
          <w:szCs w:val="24"/>
        </w:rPr>
      </w:pPr>
    </w:p>
    <w:sectPr w:rsidR="005F56F3" w:rsidRPr="008C13A7" w:rsidSect="000B10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A9E" w:rsidRDefault="00DA6A9E" w:rsidP="000B10D5">
      <w:pPr>
        <w:spacing w:after="0" w:line="240" w:lineRule="auto"/>
      </w:pPr>
      <w:r>
        <w:separator/>
      </w:r>
    </w:p>
  </w:endnote>
  <w:endnote w:type="continuationSeparator" w:id="0">
    <w:p w:rsidR="00DA6A9E" w:rsidRDefault="00DA6A9E" w:rsidP="000B1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A9E" w:rsidRDefault="00DA6A9E" w:rsidP="000B10D5">
      <w:pPr>
        <w:spacing w:after="0" w:line="240" w:lineRule="auto"/>
      </w:pPr>
      <w:r>
        <w:separator/>
      </w:r>
    </w:p>
  </w:footnote>
  <w:footnote w:type="continuationSeparator" w:id="0">
    <w:p w:rsidR="00DA6A9E" w:rsidRDefault="00DA6A9E" w:rsidP="000B10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2096496"/>
      <w:docPartObj>
        <w:docPartGallery w:val="Page Numbers (Top of Page)"/>
        <w:docPartUnique/>
      </w:docPartObj>
    </w:sdtPr>
    <w:sdtEndPr>
      <w:rPr>
        <w:noProof/>
      </w:rPr>
    </w:sdtEndPr>
    <w:sdtContent>
      <w:p w:rsidR="000B10D5" w:rsidRPr="000B10D5" w:rsidRDefault="000B10D5" w:rsidP="000B10D5">
        <w:pPr>
          <w:pStyle w:val="Header"/>
          <w:spacing w:line="480" w:lineRule="auto"/>
          <w:jc w:val="right"/>
          <w:rPr>
            <w:rFonts w:ascii="Times New Roman" w:hAnsi="Times New Roman" w:cs="Times New Roman"/>
            <w:sz w:val="24"/>
            <w:szCs w:val="24"/>
          </w:rPr>
        </w:pPr>
        <w:r w:rsidRPr="000B10D5">
          <w:rPr>
            <w:rFonts w:ascii="Times New Roman" w:hAnsi="Times New Roman" w:cs="Times New Roman"/>
            <w:sz w:val="24"/>
            <w:szCs w:val="24"/>
          </w:rPr>
          <w:t>COMMUNICATION</w:t>
        </w:r>
        <w:r w:rsidRPr="000B10D5">
          <w:rPr>
            <w:rFonts w:ascii="Times New Roman" w:hAnsi="Times New Roman" w:cs="Times New Roman"/>
            <w:sz w:val="24"/>
            <w:szCs w:val="24"/>
          </w:rPr>
          <w:tab/>
        </w:r>
        <w:r w:rsidRPr="000B10D5">
          <w:rPr>
            <w:rFonts w:ascii="Times New Roman" w:hAnsi="Times New Roman" w:cs="Times New Roman"/>
            <w:sz w:val="24"/>
            <w:szCs w:val="24"/>
          </w:rPr>
          <w:tab/>
        </w:r>
        <w:r w:rsidRPr="000B10D5">
          <w:rPr>
            <w:rFonts w:ascii="Times New Roman" w:hAnsi="Times New Roman" w:cs="Times New Roman"/>
            <w:sz w:val="24"/>
            <w:szCs w:val="24"/>
          </w:rPr>
          <w:fldChar w:fldCharType="begin"/>
        </w:r>
        <w:r w:rsidRPr="000B10D5">
          <w:rPr>
            <w:rFonts w:ascii="Times New Roman" w:hAnsi="Times New Roman" w:cs="Times New Roman"/>
            <w:sz w:val="24"/>
            <w:szCs w:val="24"/>
          </w:rPr>
          <w:instrText xml:space="preserve"> PAGE   \* MERGEFORMAT </w:instrText>
        </w:r>
        <w:r w:rsidRPr="000B10D5">
          <w:rPr>
            <w:rFonts w:ascii="Times New Roman" w:hAnsi="Times New Roman" w:cs="Times New Roman"/>
            <w:sz w:val="24"/>
            <w:szCs w:val="24"/>
          </w:rPr>
          <w:fldChar w:fldCharType="separate"/>
        </w:r>
        <w:r w:rsidR="00B03B3C">
          <w:rPr>
            <w:rFonts w:ascii="Times New Roman" w:hAnsi="Times New Roman" w:cs="Times New Roman"/>
            <w:noProof/>
            <w:sz w:val="24"/>
            <w:szCs w:val="24"/>
          </w:rPr>
          <w:t>3</w:t>
        </w:r>
        <w:r w:rsidRPr="000B10D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B3C" w:rsidRPr="00B03B3C" w:rsidRDefault="00B03B3C">
    <w:pPr>
      <w:pStyle w:val="Header"/>
      <w:jc w:val="right"/>
      <w:rPr>
        <w:rFonts w:ascii="Times New Roman" w:hAnsi="Times New Roman" w:cs="Times New Roman"/>
        <w:sz w:val="24"/>
        <w:szCs w:val="24"/>
      </w:rPr>
    </w:pPr>
    <w:r w:rsidRPr="00B03B3C">
      <w:rPr>
        <w:rFonts w:ascii="Times New Roman" w:hAnsi="Times New Roman" w:cs="Times New Roman"/>
        <w:sz w:val="24"/>
        <w:szCs w:val="24"/>
      </w:rPr>
      <w:t>Running Head: COMMUNICATION</w:t>
    </w:r>
    <w:r w:rsidRPr="00B03B3C">
      <w:rPr>
        <w:rFonts w:ascii="Times New Roman" w:hAnsi="Times New Roman" w:cs="Times New Roman"/>
        <w:sz w:val="24"/>
        <w:szCs w:val="24"/>
      </w:rPr>
      <w:tab/>
    </w:r>
    <w:r w:rsidRPr="00B03B3C">
      <w:rPr>
        <w:rFonts w:ascii="Times New Roman" w:hAnsi="Times New Roman" w:cs="Times New Roman"/>
        <w:sz w:val="24"/>
        <w:szCs w:val="24"/>
      </w:rPr>
      <w:tab/>
    </w:r>
    <w:sdt>
      <w:sdtPr>
        <w:rPr>
          <w:rFonts w:ascii="Times New Roman" w:hAnsi="Times New Roman" w:cs="Times New Roman"/>
          <w:sz w:val="24"/>
          <w:szCs w:val="24"/>
        </w:rPr>
        <w:id w:val="-96636254"/>
        <w:docPartObj>
          <w:docPartGallery w:val="Page Numbers (Top of Page)"/>
          <w:docPartUnique/>
        </w:docPartObj>
      </w:sdtPr>
      <w:sdtEndPr>
        <w:rPr>
          <w:noProof/>
        </w:rPr>
      </w:sdtEndPr>
      <w:sdtContent>
        <w:r w:rsidRPr="00B03B3C">
          <w:rPr>
            <w:rFonts w:ascii="Times New Roman" w:hAnsi="Times New Roman" w:cs="Times New Roman"/>
            <w:sz w:val="24"/>
            <w:szCs w:val="24"/>
          </w:rPr>
          <w:fldChar w:fldCharType="begin"/>
        </w:r>
        <w:r w:rsidRPr="00B03B3C">
          <w:rPr>
            <w:rFonts w:ascii="Times New Roman" w:hAnsi="Times New Roman" w:cs="Times New Roman"/>
            <w:sz w:val="24"/>
            <w:szCs w:val="24"/>
          </w:rPr>
          <w:instrText xml:space="preserve"> PAGE   \* MERGEFORMAT </w:instrText>
        </w:r>
        <w:r w:rsidRPr="00B03B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B03B3C">
          <w:rPr>
            <w:rFonts w:ascii="Times New Roman" w:hAnsi="Times New Roman" w:cs="Times New Roman"/>
            <w:noProof/>
            <w:sz w:val="24"/>
            <w:szCs w:val="24"/>
          </w:rPr>
          <w:fldChar w:fldCharType="end"/>
        </w:r>
      </w:sdtContent>
    </w:sdt>
  </w:p>
  <w:p w:rsidR="000B10D5" w:rsidRPr="00B03B3C" w:rsidRDefault="000B10D5" w:rsidP="000B10D5">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0D5"/>
    <w:rsid w:val="000B10D5"/>
    <w:rsid w:val="00157E80"/>
    <w:rsid w:val="005F56F3"/>
    <w:rsid w:val="00640DE8"/>
    <w:rsid w:val="00770542"/>
    <w:rsid w:val="008C13A7"/>
    <w:rsid w:val="00B03B3C"/>
    <w:rsid w:val="00B05A75"/>
    <w:rsid w:val="00DA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189B0-2931-4A86-872B-D8D4683D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0D5"/>
  </w:style>
  <w:style w:type="paragraph" w:styleId="Footer">
    <w:name w:val="footer"/>
    <w:basedOn w:val="Normal"/>
    <w:link w:val="FooterChar"/>
    <w:uiPriority w:val="99"/>
    <w:unhideWhenUsed/>
    <w:rsid w:val="000B1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0D5"/>
  </w:style>
  <w:style w:type="paragraph" w:customStyle="1" w:styleId="cpformat">
    <w:name w:val="cpformat"/>
    <w:basedOn w:val="Normal"/>
    <w:rsid w:val="005F56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F56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13705">
      <w:bodyDiv w:val="1"/>
      <w:marLeft w:val="0"/>
      <w:marRight w:val="0"/>
      <w:marTop w:val="0"/>
      <w:marBottom w:val="0"/>
      <w:divBdr>
        <w:top w:val="none" w:sz="0" w:space="0" w:color="auto"/>
        <w:left w:val="none" w:sz="0" w:space="0" w:color="auto"/>
        <w:bottom w:val="none" w:sz="0" w:space="0" w:color="auto"/>
        <w:right w:val="none" w:sz="0" w:space="0" w:color="auto"/>
      </w:divBdr>
    </w:div>
    <w:div w:id="84602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2019-02-06T21:43:00Z</dcterms:created>
  <dcterms:modified xsi:type="dcterms:W3CDTF">2019-02-06T21:43:00Z</dcterms:modified>
</cp:coreProperties>
</file>